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31" w:rsidRDefault="00C53131">
      <w:r>
        <w:t>Essential Personnel covered by Emergency Care</w:t>
      </w:r>
    </w:p>
    <w:p w:rsidR="00C53131" w:rsidRDefault="00C53131"/>
    <w:p w:rsidR="00A21A8E" w:rsidRDefault="00C53131" w:rsidP="00A21A8E">
      <w:pPr>
        <w:pStyle w:val="ListParagraph"/>
        <w:numPr>
          <w:ilvl w:val="0"/>
          <w:numId w:val="1"/>
        </w:numPr>
      </w:pPr>
      <w:r>
        <w:t>Providers of healthcare, long term or acute patient care, emergency medical or pharmaceutical services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 Public Health Employees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Law enforcement personnel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Correctional Services employees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Firefighters and other first responders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Government workers required </w:t>
      </w:r>
      <w:r w:rsidR="00A21A8E">
        <w:t>to work in a State of Emergency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Employees and representatives of insurance carriers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National Guard called to active duty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Staff or providers of child care or education services, including custodial and food service worker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Food distributors and suppliers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Transportation and delivery services personnel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Gasoline service station operators and auto mechanics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Critical Infrastructure employees, such as emergency and support personnel for gas and electric utility operations, public works, water treatment and waste management </w:t>
      </w:r>
    </w:p>
    <w:p w:rsidR="00A21A8E" w:rsidRDefault="00C53131" w:rsidP="00A21A8E">
      <w:pPr>
        <w:pStyle w:val="ListParagraph"/>
        <w:numPr>
          <w:ilvl w:val="0"/>
          <w:numId w:val="1"/>
        </w:numPr>
      </w:pPr>
      <w:r>
        <w:t xml:space="preserve">Personnel of other institutions ORDERED to remain open during a State of Emergency </w:t>
      </w:r>
    </w:p>
    <w:p w:rsidR="00954101" w:rsidRDefault="00C53131" w:rsidP="00A21A8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Other persons the State Superintendent deems necessary</w:t>
      </w:r>
    </w:p>
    <w:sectPr w:rsidR="00954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3CB1"/>
    <w:multiLevelType w:val="hybridMultilevel"/>
    <w:tmpl w:val="300C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31"/>
    <w:rsid w:val="00954101"/>
    <w:rsid w:val="00A21A8E"/>
    <w:rsid w:val="00C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A55E"/>
  <w15:chartTrackingRefBased/>
  <w15:docId w15:val="{D7187BA9-7DA0-4B9E-9FA7-A24C265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Titus</dc:creator>
  <cp:keywords/>
  <dc:description/>
  <cp:lastModifiedBy>Kristofer Titus</cp:lastModifiedBy>
  <cp:revision>1</cp:revision>
  <dcterms:created xsi:type="dcterms:W3CDTF">2020-03-26T16:19:00Z</dcterms:created>
  <dcterms:modified xsi:type="dcterms:W3CDTF">2020-03-26T16:47:00Z</dcterms:modified>
</cp:coreProperties>
</file>